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D3" w:rsidRDefault="00610CD3" w:rsidP="00610CD3">
      <w:pPr>
        <w:rPr>
          <w:b/>
          <w:sz w:val="36"/>
          <w:szCs w:val="36"/>
          <w:lang w:val="en-US"/>
        </w:rPr>
      </w:pPr>
      <w:r>
        <w:rPr>
          <w:b/>
          <w:noProof/>
          <w:sz w:val="36"/>
          <w:szCs w:val="36"/>
          <w:lang w:val="en-US"/>
        </w:rPr>
        <w:drawing>
          <wp:anchor distT="0" distB="0" distL="114300" distR="114300" simplePos="0" relativeHeight="251660288" behindDoc="0" locked="0" layoutInCell="1" allowOverlap="1" wp14:anchorId="6D781BC3" wp14:editId="33CDE8E0">
            <wp:simplePos x="0" y="0"/>
            <wp:positionH relativeFrom="column">
              <wp:posOffset>4629150</wp:posOffset>
            </wp:positionH>
            <wp:positionV relativeFrom="paragraph">
              <wp:posOffset>-381000</wp:posOffset>
            </wp:positionV>
            <wp:extent cx="1376680" cy="1549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6680" cy="1549400"/>
                    </a:xfrm>
                    <a:prstGeom prst="rect">
                      <a:avLst/>
                    </a:prstGeom>
                    <a:noFill/>
                    <a:ln>
                      <a:noFill/>
                    </a:ln>
                  </pic:spPr>
                </pic:pic>
              </a:graphicData>
            </a:graphic>
          </wp:anchor>
        </w:drawing>
      </w:r>
      <w:r>
        <w:rPr>
          <w:b/>
          <w:sz w:val="36"/>
          <w:szCs w:val="36"/>
          <w:lang w:val="en-US"/>
        </w:rPr>
        <w:t xml:space="preserve">                                                                                    </w:t>
      </w:r>
      <w:r>
        <w:rPr>
          <w:b/>
          <w:noProof/>
          <w:sz w:val="36"/>
          <w:szCs w:val="36"/>
          <w:lang w:val="en-US"/>
        </w:rPr>
        <w:drawing>
          <wp:anchor distT="0" distB="0" distL="114300" distR="114300" simplePos="0" relativeHeight="251656192" behindDoc="0" locked="0" layoutInCell="1" allowOverlap="1" wp14:anchorId="02659526" wp14:editId="0E178A08">
            <wp:simplePos x="0" y="0"/>
            <wp:positionH relativeFrom="column">
              <wp:posOffset>1720850</wp:posOffset>
            </wp:positionH>
            <wp:positionV relativeFrom="paragraph">
              <wp:posOffset>6985</wp:posOffset>
            </wp:positionV>
            <wp:extent cx="2276475" cy="817880"/>
            <wp:effectExtent l="0" t="0" r="952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2276475" cy="817880"/>
                    </a:xfrm>
                    <a:prstGeom prst="rect">
                      <a:avLst/>
                    </a:prstGeom>
                  </pic:spPr>
                </pic:pic>
              </a:graphicData>
            </a:graphic>
          </wp:anchor>
        </w:drawing>
      </w:r>
    </w:p>
    <w:p w:rsidR="00610CD3" w:rsidRDefault="00610CD3" w:rsidP="00610CD3">
      <w:pPr>
        <w:rPr>
          <w:b/>
          <w:sz w:val="36"/>
          <w:szCs w:val="36"/>
          <w:lang w:val="en-US"/>
        </w:rPr>
      </w:pPr>
    </w:p>
    <w:p w:rsidR="00FE510A" w:rsidRDefault="00FE510A" w:rsidP="00610CD3">
      <w:pPr>
        <w:rPr>
          <w:b/>
          <w:sz w:val="36"/>
          <w:szCs w:val="36"/>
          <w:lang w:val="en-US"/>
        </w:rPr>
      </w:pPr>
    </w:p>
    <w:p w:rsidR="00610CD3" w:rsidRPr="00610CD3" w:rsidRDefault="00610CD3" w:rsidP="00610CD3">
      <w:pPr>
        <w:jc w:val="center"/>
        <w:rPr>
          <w:b/>
          <w:sz w:val="40"/>
          <w:szCs w:val="40"/>
          <w:lang w:val="en-US"/>
        </w:rPr>
      </w:pPr>
      <w:r w:rsidRPr="00610CD3">
        <w:rPr>
          <w:b/>
          <w:sz w:val="40"/>
          <w:szCs w:val="40"/>
          <w:lang w:val="en-US"/>
        </w:rPr>
        <w:t>Carbine CEL 3in1 Touchscreen Locks</w:t>
      </w:r>
    </w:p>
    <w:p w:rsidR="00610CD3" w:rsidRPr="00610CD3" w:rsidRDefault="00610CD3" w:rsidP="00610CD3">
      <w:pPr>
        <w:jc w:val="center"/>
        <w:rPr>
          <w:b/>
          <w:lang w:val="en-US"/>
        </w:rPr>
      </w:pPr>
      <w:r>
        <w:rPr>
          <w:b/>
          <w:sz w:val="40"/>
          <w:szCs w:val="40"/>
          <w:lang w:val="en-US"/>
        </w:rPr>
        <w:t>RFID A</w:t>
      </w:r>
      <w:r w:rsidRPr="00610CD3">
        <w:rPr>
          <w:b/>
          <w:sz w:val="40"/>
          <w:szCs w:val="40"/>
          <w:lang w:val="en-US"/>
        </w:rPr>
        <w:t>pplication List</w:t>
      </w:r>
    </w:p>
    <w:p w:rsidR="00610CD3" w:rsidRPr="00610CD3" w:rsidRDefault="00610CD3" w:rsidP="00610CD3">
      <w:pPr>
        <w:rPr>
          <w:b/>
          <w:lang w:val="en-US"/>
        </w:rPr>
      </w:pPr>
      <w:r w:rsidRPr="00610CD3">
        <w:rPr>
          <w:b/>
          <w:lang w:val="en-US"/>
        </w:rPr>
        <w:tab/>
      </w:r>
      <w:r w:rsidRPr="00610CD3">
        <w:rPr>
          <w:b/>
          <w:lang w:val="en-US"/>
        </w:rPr>
        <w:tab/>
      </w:r>
      <w:r w:rsidRPr="00610CD3">
        <w:rPr>
          <w:b/>
          <w:lang w:val="en-US"/>
        </w:rPr>
        <w:tab/>
      </w:r>
    </w:p>
    <w:p w:rsidR="00610CD3" w:rsidRPr="00610CD3" w:rsidRDefault="00610CD3" w:rsidP="00610CD3">
      <w:pPr>
        <w:rPr>
          <w:b/>
          <w:sz w:val="24"/>
          <w:szCs w:val="24"/>
          <w:lang w:val="en-US"/>
        </w:rPr>
      </w:pPr>
      <w:r w:rsidRPr="00610CD3">
        <w:rPr>
          <w:b/>
          <w:sz w:val="24"/>
          <w:szCs w:val="24"/>
          <w:lang w:val="en-US"/>
        </w:rPr>
        <w:t>Credit Cards &amp; Transport Cards</w:t>
      </w:r>
      <w:r w:rsidRPr="00610CD3">
        <w:rPr>
          <w:b/>
          <w:sz w:val="24"/>
          <w:szCs w:val="24"/>
          <w:lang w:val="en-US"/>
        </w:rPr>
        <w:tab/>
      </w:r>
      <w:r w:rsidRPr="00610CD3">
        <w:rPr>
          <w:b/>
          <w:sz w:val="24"/>
          <w:szCs w:val="24"/>
          <w:lang w:val="en-US"/>
        </w:rPr>
        <w:tab/>
      </w:r>
      <w:r w:rsidRPr="00610CD3">
        <w:rPr>
          <w:b/>
          <w:sz w:val="24"/>
          <w:szCs w:val="24"/>
          <w:lang w:val="en-US"/>
        </w:rPr>
        <w:tab/>
      </w:r>
    </w:p>
    <w:p w:rsidR="00610CD3" w:rsidRDefault="00610CD3" w:rsidP="00610CD3">
      <w:pPr>
        <w:rPr>
          <w:lang w:val="en-US"/>
        </w:rPr>
      </w:pPr>
      <w:r w:rsidRPr="00610CD3">
        <w:rPr>
          <w:lang w:val="en-US"/>
        </w:rPr>
        <w:t>Any RFID cards that are using MIFARE chips will be compatible with the lock. The MIFARE chips (ISO14443 Type A) a</w:t>
      </w:r>
      <w:r>
        <w:rPr>
          <w:lang w:val="en-US"/>
        </w:rPr>
        <w:t>re widely used on transport</w:t>
      </w:r>
      <w:r w:rsidRPr="00610CD3">
        <w:rPr>
          <w:lang w:val="en-US"/>
        </w:rPr>
        <w:t xml:space="preserve"> cards, but not credit cards as most credit cards including VISA </w:t>
      </w:r>
      <w:proofErr w:type="spellStart"/>
      <w:r w:rsidRPr="00610CD3">
        <w:rPr>
          <w:lang w:val="en-US"/>
        </w:rPr>
        <w:t>PayWave</w:t>
      </w:r>
      <w:proofErr w:type="spellEnd"/>
      <w:r w:rsidRPr="00610CD3">
        <w:rPr>
          <w:lang w:val="en-US"/>
        </w:rPr>
        <w:t xml:space="preserve"> &amp; </w:t>
      </w:r>
      <w:proofErr w:type="spellStart"/>
      <w:r w:rsidRPr="00610CD3">
        <w:rPr>
          <w:lang w:val="en-US"/>
        </w:rPr>
        <w:t>Mastercard</w:t>
      </w:r>
      <w:proofErr w:type="spellEnd"/>
      <w:r w:rsidRPr="00610CD3">
        <w:rPr>
          <w:lang w:val="en-US"/>
        </w:rPr>
        <w:t xml:space="preserve"> </w:t>
      </w:r>
      <w:proofErr w:type="spellStart"/>
      <w:r w:rsidRPr="00610CD3">
        <w:rPr>
          <w:lang w:val="en-US"/>
        </w:rPr>
        <w:t>Paypass</w:t>
      </w:r>
      <w:proofErr w:type="spellEnd"/>
      <w:r w:rsidRPr="00610CD3">
        <w:rPr>
          <w:lang w:val="en-US"/>
        </w:rPr>
        <w:t xml:space="preserve"> use EMV chips (ISO14443 Type B) which are not compatible with the lock. </w:t>
      </w:r>
    </w:p>
    <w:p w:rsidR="00610CD3" w:rsidRPr="00610CD3" w:rsidRDefault="00610CD3" w:rsidP="00610CD3">
      <w:pPr>
        <w:rPr>
          <w:lang w:val="en-US"/>
        </w:rPr>
      </w:pPr>
      <w:r w:rsidRPr="00610CD3">
        <w:rPr>
          <w:lang w:val="en-US"/>
        </w:rPr>
        <w:t xml:space="preserve">However, if the credit card can </w:t>
      </w:r>
      <w:r>
        <w:rPr>
          <w:lang w:val="en-US"/>
        </w:rPr>
        <w:t>also be used as a transport</w:t>
      </w:r>
      <w:r w:rsidRPr="00610CD3">
        <w:rPr>
          <w:lang w:val="en-US"/>
        </w:rPr>
        <w:t xml:space="preserve"> card (</w:t>
      </w:r>
      <w:r>
        <w:rPr>
          <w:lang w:val="en-US"/>
        </w:rPr>
        <w:t xml:space="preserve">complying to ISO14443 Type A), </w:t>
      </w:r>
      <w:r w:rsidRPr="00610CD3">
        <w:rPr>
          <w:lang w:val="en-US"/>
        </w:rPr>
        <w:t xml:space="preserve">it is very likely it can be used to operate the lock. </w:t>
      </w:r>
      <w:r w:rsidRPr="00610CD3">
        <w:rPr>
          <w:lang w:val="en-US"/>
        </w:rPr>
        <w:tab/>
      </w:r>
      <w:r w:rsidRPr="00610CD3">
        <w:rPr>
          <w:lang w:val="en-US"/>
        </w:rPr>
        <w:tab/>
      </w:r>
      <w:r w:rsidRPr="00610CD3">
        <w:rPr>
          <w:lang w:val="en-US"/>
        </w:rPr>
        <w:tab/>
      </w:r>
    </w:p>
    <w:p w:rsidR="00610CD3" w:rsidRPr="00610CD3" w:rsidRDefault="00610CD3" w:rsidP="00610CD3">
      <w:pPr>
        <w:rPr>
          <w:lang w:val="en-US"/>
        </w:rPr>
      </w:pPr>
      <w:r w:rsidRPr="00610CD3">
        <w:rPr>
          <w:lang w:val="en-US"/>
        </w:rPr>
        <w:t xml:space="preserve">The table below lists the transport cards that are equipped with MIFARE chips in Australia. The link below has more information about MIFARE. </w:t>
      </w:r>
      <w:r w:rsidRPr="00610CD3">
        <w:rPr>
          <w:lang w:val="en-US"/>
        </w:rPr>
        <w:tab/>
      </w:r>
      <w:r w:rsidRPr="00610CD3">
        <w:rPr>
          <w:lang w:val="en-US"/>
        </w:rPr>
        <w:tab/>
      </w:r>
      <w:r w:rsidRPr="00610CD3">
        <w:rPr>
          <w:lang w:val="en-US"/>
        </w:rPr>
        <w:tab/>
      </w:r>
    </w:p>
    <w:p w:rsidR="00610CD3" w:rsidRDefault="00610CD3" w:rsidP="00610CD3">
      <w:pPr>
        <w:rPr>
          <w:lang w:val="en-US"/>
        </w:rPr>
      </w:pPr>
      <w:hyperlink r:id="rId7" w:history="1">
        <w:r w:rsidRPr="00570E27">
          <w:rPr>
            <w:rStyle w:val="Hyperlink"/>
            <w:lang w:val="en-US"/>
          </w:rPr>
          <w:t>https://en.wikipedia.org/wiki/MIFARE</w:t>
        </w:r>
      </w:hyperlink>
    </w:p>
    <w:tbl>
      <w:tblPr>
        <w:tblW w:w="9170" w:type="dxa"/>
        <w:tblInd w:w="118" w:type="dxa"/>
        <w:tblLook w:val="04A0" w:firstRow="1" w:lastRow="0" w:firstColumn="1" w:lastColumn="0" w:noHBand="0" w:noVBand="1"/>
      </w:tblPr>
      <w:tblGrid>
        <w:gridCol w:w="1520"/>
        <w:gridCol w:w="1358"/>
        <w:gridCol w:w="1252"/>
        <w:gridCol w:w="5040"/>
      </w:tblGrid>
      <w:tr w:rsidR="00610CD3" w:rsidRPr="00610CD3" w:rsidTr="00610CD3">
        <w:trPr>
          <w:trHeight w:val="25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b/>
                <w:bCs/>
                <w:color w:val="1F497D"/>
                <w:sz w:val="18"/>
                <w:szCs w:val="18"/>
                <w:lang w:val="en-US"/>
              </w:rPr>
            </w:pPr>
            <w:r w:rsidRPr="00610CD3">
              <w:rPr>
                <w:rFonts w:ascii="Calibri" w:eastAsia="Times New Roman" w:hAnsi="Calibri" w:cs="Times New Roman"/>
                <w:b/>
                <w:bCs/>
                <w:color w:val="1F497D"/>
                <w:sz w:val="18"/>
                <w:szCs w:val="18"/>
                <w:lang w:val="en-US"/>
              </w:rPr>
              <w:t>Card Name</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b/>
                <w:bCs/>
                <w:color w:val="1F497D"/>
                <w:sz w:val="18"/>
                <w:szCs w:val="18"/>
                <w:lang w:val="en-US"/>
              </w:rPr>
            </w:pPr>
            <w:r w:rsidRPr="00610CD3">
              <w:rPr>
                <w:rFonts w:ascii="Calibri" w:eastAsia="Times New Roman" w:hAnsi="Calibri" w:cs="Times New Roman"/>
                <w:b/>
                <w:bCs/>
                <w:color w:val="1F497D"/>
                <w:sz w:val="18"/>
                <w:szCs w:val="18"/>
                <w:lang w:val="en-US"/>
              </w:rPr>
              <w:t>Locality</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b/>
                <w:bCs/>
                <w:color w:val="1F497D"/>
                <w:sz w:val="18"/>
                <w:szCs w:val="18"/>
                <w:lang w:val="en-US"/>
              </w:rPr>
            </w:pPr>
            <w:r w:rsidRPr="00610CD3">
              <w:rPr>
                <w:rFonts w:ascii="Calibri" w:eastAsia="Times New Roman" w:hAnsi="Calibri" w:cs="Times New Roman"/>
                <w:b/>
                <w:bCs/>
                <w:color w:val="1F497D"/>
                <w:sz w:val="18"/>
                <w:szCs w:val="18"/>
                <w:lang w:val="en-US"/>
              </w:rPr>
              <w:t>Type</w:t>
            </w:r>
          </w:p>
        </w:tc>
        <w:tc>
          <w:tcPr>
            <w:tcW w:w="5040" w:type="dxa"/>
            <w:tcBorders>
              <w:top w:val="single" w:sz="8" w:space="0" w:color="auto"/>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b/>
                <w:bCs/>
                <w:color w:val="1F497D"/>
                <w:sz w:val="18"/>
                <w:szCs w:val="18"/>
                <w:lang w:val="en-US"/>
              </w:rPr>
            </w:pPr>
            <w:r w:rsidRPr="00610CD3">
              <w:rPr>
                <w:rFonts w:ascii="Calibri" w:eastAsia="Times New Roman" w:hAnsi="Calibri" w:cs="Times New Roman"/>
                <w:b/>
                <w:bCs/>
                <w:color w:val="1F497D"/>
                <w:sz w:val="18"/>
                <w:szCs w:val="18"/>
                <w:lang w:val="en-US"/>
              </w:rPr>
              <w:t>Details</w:t>
            </w:r>
          </w:p>
        </w:tc>
      </w:tr>
      <w:tr w:rsidR="00610CD3" w:rsidRPr="00610CD3" w:rsidTr="00610CD3">
        <w:trPr>
          <w:trHeight w:val="25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Adelaide Metro </w:t>
            </w:r>
            <w:proofErr w:type="spellStart"/>
            <w:r w:rsidRPr="00610CD3">
              <w:rPr>
                <w:rFonts w:ascii="Calibri" w:eastAsia="Times New Roman" w:hAnsi="Calibri" w:cs="Times New Roman"/>
                <w:color w:val="1F497D"/>
                <w:sz w:val="18"/>
                <w:szCs w:val="18"/>
                <w:lang w:val="en-US"/>
              </w:rPr>
              <w:t>metroCard</w:t>
            </w:r>
            <w:proofErr w:type="spellEnd"/>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(Adelaide)</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MIFARE </w:t>
            </w:r>
            <w:proofErr w:type="spellStart"/>
            <w:r w:rsidRPr="00610CD3">
              <w:rPr>
                <w:rFonts w:ascii="Calibri" w:eastAsia="Times New Roman" w:hAnsi="Calibri" w:cs="Times New Roman"/>
                <w:color w:val="1F497D"/>
                <w:sz w:val="18"/>
                <w:szCs w:val="18"/>
                <w:lang w:val="en-US"/>
              </w:rPr>
              <w:t>DESFire</w:t>
            </w:r>
            <w:proofErr w:type="spellEnd"/>
            <w:r w:rsidRPr="00610CD3">
              <w:rPr>
                <w:rFonts w:ascii="Calibri" w:eastAsia="Times New Roman" w:hAnsi="Calibri" w:cs="Times New Roman"/>
                <w:color w:val="1F497D"/>
                <w:sz w:val="18"/>
                <w:szCs w:val="18"/>
                <w:lang w:val="en-US"/>
              </w:rPr>
              <w:t xml:space="preserve"> EV1</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Adelaide Metro network (Bus, Train and Tram)</w:t>
            </w:r>
          </w:p>
        </w:tc>
      </w:tr>
      <w:tr w:rsidR="00610CD3" w:rsidRPr="00610CD3" w:rsidTr="00610CD3">
        <w:trPr>
          <w:trHeight w:val="25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proofErr w:type="spellStart"/>
            <w:r w:rsidRPr="00610CD3">
              <w:rPr>
                <w:rFonts w:ascii="Calibri" w:eastAsia="Times New Roman" w:hAnsi="Calibri" w:cs="Times New Roman"/>
                <w:color w:val="1F497D"/>
                <w:sz w:val="18"/>
                <w:szCs w:val="18"/>
                <w:lang w:val="en-US"/>
              </w:rPr>
              <w:t>TransLink</w:t>
            </w:r>
            <w:proofErr w:type="spellEnd"/>
            <w:r w:rsidRPr="00610CD3">
              <w:rPr>
                <w:rFonts w:ascii="Calibri" w:eastAsia="Times New Roman" w:hAnsi="Calibri" w:cs="Times New Roman"/>
                <w:color w:val="1F497D"/>
                <w:sz w:val="18"/>
                <w:szCs w:val="18"/>
                <w:lang w:val="en-US"/>
              </w:rPr>
              <w:t xml:space="preserve"> Go card</w:t>
            </w:r>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(Brisbane)</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MIFARE Classic 1K</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Used on the </w:t>
            </w:r>
            <w:proofErr w:type="spellStart"/>
            <w:r w:rsidRPr="00610CD3">
              <w:rPr>
                <w:rFonts w:ascii="Calibri" w:eastAsia="Times New Roman" w:hAnsi="Calibri" w:cs="Times New Roman"/>
                <w:color w:val="1F497D"/>
                <w:sz w:val="18"/>
                <w:szCs w:val="18"/>
                <w:lang w:val="en-US"/>
              </w:rPr>
              <w:t>TransLink</w:t>
            </w:r>
            <w:proofErr w:type="spellEnd"/>
            <w:r w:rsidRPr="00610CD3">
              <w:rPr>
                <w:rFonts w:ascii="Calibri" w:eastAsia="Times New Roman" w:hAnsi="Calibri" w:cs="Times New Roman"/>
                <w:color w:val="1F497D"/>
                <w:sz w:val="18"/>
                <w:szCs w:val="18"/>
                <w:lang w:val="en-US"/>
              </w:rPr>
              <w:t xml:space="preserve"> public transport network.</w:t>
            </w:r>
          </w:p>
        </w:tc>
      </w:tr>
      <w:tr w:rsidR="00610CD3" w:rsidRPr="00610CD3" w:rsidTr="00610CD3">
        <w:trPr>
          <w:trHeight w:val="49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ACTION </w:t>
            </w:r>
            <w:proofErr w:type="spellStart"/>
            <w:r w:rsidRPr="00610CD3">
              <w:rPr>
                <w:rFonts w:ascii="Calibri" w:eastAsia="Times New Roman" w:hAnsi="Calibri" w:cs="Times New Roman"/>
                <w:color w:val="1F497D"/>
                <w:sz w:val="18"/>
                <w:szCs w:val="18"/>
                <w:lang w:val="en-US"/>
              </w:rPr>
              <w:t>MyWay</w:t>
            </w:r>
            <w:proofErr w:type="spellEnd"/>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(Canberra)</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MIFARE Classic 1K</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Form of electronic ticketing used on public transport services within Canberra</w:t>
            </w:r>
          </w:p>
        </w:tc>
      </w:tr>
      <w:tr w:rsidR="00610CD3" w:rsidRPr="00610CD3" w:rsidTr="00610CD3">
        <w:trPr>
          <w:trHeight w:val="49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Metro Green Card</w:t>
            </w:r>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(Hobart)</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MIFARE Classic 4</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proofErr w:type="spellStart"/>
            <w:r w:rsidRPr="00610CD3">
              <w:rPr>
                <w:rFonts w:ascii="Calibri" w:eastAsia="Times New Roman" w:hAnsi="Calibri" w:cs="Times New Roman"/>
                <w:color w:val="1F497D"/>
                <w:sz w:val="18"/>
                <w:szCs w:val="18"/>
                <w:lang w:val="en-US"/>
              </w:rPr>
              <w:t>Greencard</w:t>
            </w:r>
            <w:proofErr w:type="spellEnd"/>
            <w:r w:rsidRPr="00610CD3">
              <w:rPr>
                <w:rFonts w:ascii="Calibri" w:eastAsia="Times New Roman" w:hAnsi="Calibri" w:cs="Times New Roman"/>
                <w:color w:val="1F497D"/>
                <w:sz w:val="18"/>
                <w:szCs w:val="18"/>
                <w:lang w:val="en-US"/>
              </w:rPr>
              <w:t xml:space="preserve"> simplifies public transport by acting like a digital wallet. Used on buses and the metro.</w:t>
            </w:r>
          </w:p>
        </w:tc>
      </w:tr>
      <w:tr w:rsidR="00610CD3" w:rsidRPr="00610CD3" w:rsidTr="00610CD3">
        <w:trPr>
          <w:trHeight w:val="73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proofErr w:type="spellStart"/>
            <w:r w:rsidRPr="00610CD3">
              <w:rPr>
                <w:rFonts w:ascii="Calibri" w:eastAsia="Times New Roman" w:hAnsi="Calibri" w:cs="Times New Roman"/>
                <w:color w:val="1F497D"/>
                <w:sz w:val="18"/>
                <w:szCs w:val="18"/>
                <w:lang w:val="en-US"/>
              </w:rPr>
              <w:t>SmartRider</w:t>
            </w:r>
            <w:proofErr w:type="spellEnd"/>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(Perth)</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MIFARE Classic 1K</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Widely used across the </w:t>
            </w:r>
            <w:proofErr w:type="spellStart"/>
            <w:r w:rsidRPr="00610CD3">
              <w:rPr>
                <w:rFonts w:ascii="Calibri" w:eastAsia="Times New Roman" w:hAnsi="Calibri" w:cs="Times New Roman"/>
                <w:color w:val="1F497D"/>
                <w:sz w:val="18"/>
                <w:szCs w:val="18"/>
                <w:lang w:val="en-US"/>
              </w:rPr>
              <w:t>Transperth</w:t>
            </w:r>
            <w:proofErr w:type="spellEnd"/>
            <w:r w:rsidRPr="00610CD3">
              <w:rPr>
                <w:rFonts w:ascii="Calibri" w:eastAsia="Times New Roman" w:hAnsi="Calibri" w:cs="Times New Roman"/>
                <w:color w:val="1F497D"/>
                <w:sz w:val="18"/>
                <w:szCs w:val="18"/>
                <w:lang w:val="en-US"/>
              </w:rPr>
              <w:t xml:space="preserve"> public transport in metropolitan Perth, as well as the regional town bus services. Used for public bus, train and ferry services.</w:t>
            </w:r>
          </w:p>
        </w:tc>
      </w:tr>
      <w:tr w:rsidR="00610CD3" w:rsidRPr="00610CD3" w:rsidTr="00610CD3">
        <w:trPr>
          <w:trHeight w:val="49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Opal card</w:t>
            </w:r>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(Sydney)</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MIFARE </w:t>
            </w:r>
            <w:proofErr w:type="spellStart"/>
            <w:r w:rsidRPr="00610CD3">
              <w:rPr>
                <w:rFonts w:ascii="Calibri" w:eastAsia="Times New Roman" w:hAnsi="Calibri" w:cs="Times New Roman"/>
                <w:color w:val="1F497D"/>
                <w:sz w:val="18"/>
                <w:szCs w:val="18"/>
                <w:lang w:val="en-US"/>
              </w:rPr>
              <w:t>DESFire</w:t>
            </w:r>
            <w:proofErr w:type="spellEnd"/>
            <w:r w:rsidRPr="00610CD3">
              <w:rPr>
                <w:rFonts w:ascii="Calibri" w:eastAsia="Times New Roman" w:hAnsi="Calibri" w:cs="Times New Roman"/>
                <w:color w:val="1F497D"/>
                <w:sz w:val="18"/>
                <w:szCs w:val="18"/>
                <w:lang w:val="en-US"/>
              </w:rPr>
              <w:t xml:space="preserve"> EV1</w:t>
            </w:r>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Is valid on all bus, rail, light rail and government ferry services in Sydney and surrounding areas such as Central Coast.</w:t>
            </w:r>
          </w:p>
        </w:tc>
      </w:tr>
      <w:tr w:rsidR="00610CD3" w:rsidRPr="00610CD3" w:rsidTr="00610CD3">
        <w:trPr>
          <w:trHeight w:val="49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Myki</w:t>
            </w:r>
          </w:p>
        </w:tc>
        <w:tc>
          <w:tcPr>
            <w:tcW w:w="1358"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Australia (Victoria)</w:t>
            </w:r>
          </w:p>
        </w:tc>
        <w:tc>
          <w:tcPr>
            <w:tcW w:w="1252"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 xml:space="preserve">MIFARE </w:t>
            </w:r>
            <w:proofErr w:type="spellStart"/>
            <w:r w:rsidRPr="00610CD3">
              <w:rPr>
                <w:rFonts w:ascii="Calibri" w:eastAsia="Times New Roman" w:hAnsi="Calibri" w:cs="Times New Roman"/>
                <w:color w:val="1F497D"/>
                <w:sz w:val="18"/>
                <w:szCs w:val="18"/>
                <w:lang w:val="en-US"/>
              </w:rPr>
              <w:t>DESFire</w:t>
            </w:r>
            <w:proofErr w:type="spellEnd"/>
          </w:p>
        </w:tc>
        <w:tc>
          <w:tcPr>
            <w:tcW w:w="5040" w:type="dxa"/>
            <w:tcBorders>
              <w:top w:val="nil"/>
              <w:left w:val="nil"/>
              <w:bottom w:val="single" w:sz="8" w:space="0" w:color="auto"/>
              <w:right w:val="single" w:sz="8" w:space="0" w:color="auto"/>
            </w:tcBorders>
            <w:shd w:val="clear" w:color="auto" w:fill="auto"/>
            <w:vAlign w:val="center"/>
            <w:hideMark/>
          </w:tcPr>
          <w:p w:rsidR="00610CD3" w:rsidRPr="00610CD3" w:rsidRDefault="00610CD3" w:rsidP="00610CD3">
            <w:pPr>
              <w:spacing w:after="0" w:line="240" w:lineRule="auto"/>
              <w:rPr>
                <w:rFonts w:ascii="Calibri" w:eastAsia="Times New Roman" w:hAnsi="Calibri" w:cs="Times New Roman"/>
                <w:color w:val="1F497D"/>
                <w:sz w:val="18"/>
                <w:szCs w:val="18"/>
                <w:lang w:val="en-US"/>
              </w:rPr>
            </w:pPr>
            <w:r w:rsidRPr="00610CD3">
              <w:rPr>
                <w:rFonts w:ascii="Calibri" w:eastAsia="Times New Roman" w:hAnsi="Calibri" w:cs="Times New Roman"/>
                <w:color w:val="1F497D"/>
                <w:sz w:val="18"/>
                <w:szCs w:val="18"/>
                <w:lang w:val="en-US"/>
              </w:rPr>
              <w:t>Used on public transport such as, trains, buses, trams and coaches in Victoria</w:t>
            </w:r>
          </w:p>
        </w:tc>
      </w:tr>
    </w:tbl>
    <w:p w:rsidR="00610CD3" w:rsidRDefault="00610CD3" w:rsidP="00610CD3">
      <w:pPr>
        <w:rPr>
          <w:sz w:val="36"/>
          <w:szCs w:val="36"/>
          <w:lang w:val="en-US"/>
        </w:rPr>
      </w:pPr>
      <w:r w:rsidRPr="00610CD3">
        <w:rPr>
          <w:sz w:val="36"/>
          <w:szCs w:val="36"/>
          <w:lang w:val="en-US"/>
        </w:rPr>
        <w:tab/>
      </w:r>
    </w:p>
    <w:p w:rsidR="00610CD3" w:rsidRPr="00610CD3" w:rsidRDefault="00610CD3" w:rsidP="00610CD3">
      <w:pPr>
        <w:rPr>
          <w:b/>
          <w:sz w:val="24"/>
          <w:szCs w:val="24"/>
          <w:lang w:val="en-US"/>
        </w:rPr>
      </w:pPr>
      <w:proofErr w:type="spellStart"/>
      <w:r w:rsidRPr="00610CD3">
        <w:rPr>
          <w:b/>
          <w:sz w:val="24"/>
          <w:szCs w:val="24"/>
          <w:lang w:val="en-US"/>
        </w:rPr>
        <w:t>SmartPhones</w:t>
      </w:r>
      <w:proofErr w:type="spellEnd"/>
      <w:r w:rsidRPr="00610CD3">
        <w:rPr>
          <w:b/>
          <w:sz w:val="24"/>
          <w:szCs w:val="24"/>
          <w:lang w:val="en-US"/>
        </w:rPr>
        <w:tab/>
      </w:r>
      <w:r w:rsidRPr="00610CD3">
        <w:rPr>
          <w:b/>
          <w:sz w:val="24"/>
          <w:szCs w:val="24"/>
          <w:lang w:val="en-US"/>
        </w:rPr>
        <w:tab/>
      </w:r>
      <w:r w:rsidRPr="00610CD3">
        <w:rPr>
          <w:b/>
          <w:sz w:val="24"/>
          <w:szCs w:val="24"/>
          <w:lang w:val="en-US"/>
        </w:rPr>
        <w:tab/>
      </w:r>
    </w:p>
    <w:p w:rsidR="00610CD3" w:rsidRPr="00610CD3" w:rsidRDefault="00610CD3" w:rsidP="00610CD3">
      <w:pPr>
        <w:rPr>
          <w:lang w:val="en-US"/>
        </w:rPr>
      </w:pPr>
      <w:r w:rsidRPr="00610CD3">
        <w:rPr>
          <w:lang w:val="en-US"/>
        </w:rPr>
        <w:t>In addition, most Android phones with NFC function can also be used to operate the lock. Refer to the link below to see which smartphone brands and model numbers are using the MIFARE technology</w:t>
      </w:r>
      <w:r w:rsidRPr="00610CD3">
        <w:rPr>
          <w:lang w:val="en-US"/>
        </w:rPr>
        <w:tab/>
      </w:r>
      <w:r w:rsidRPr="00610CD3">
        <w:rPr>
          <w:lang w:val="en-US"/>
        </w:rPr>
        <w:tab/>
      </w:r>
      <w:r w:rsidRPr="00610CD3">
        <w:rPr>
          <w:lang w:val="en-US"/>
        </w:rPr>
        <w:tab/>
      </w:r>
    </w:p>
    <w:p w:rsidR="0099207C" w:rsidRDefault="0099207C" w:rsidP="00610CD3">
      <w:pPr>
        <w:rPr>
          <w:lang w:val="en-US"/>
        </w:rPr>
      </w:pPr>
      <w:hyperlink r:id="rId8" w:history="1">
        <w:r w:rsidRPr="00570E27">
          <w:rPr>
            <w:rStyle w:val="Hyperlink"/>
            <w:lang w:val="en-US"/>
          </w:rPr>
          <w:t>http://www.shopnfc.it</w:t>
        </w:r>
        <w:r w:rsidRPr="00570E27">
          <w:rPr>
            <w:rStyle w:val="Hyperlink"/>
            <w:lang w:val="en-US"/>
          </w:rPr>
          <w:t>/</w:t>
        </w:r>
        <w:r w:rsidRPr="00570E27">
          <w:rPr>
            <w:rStyle w:val="Hyperlink"/>
            <w:lang w:val="en-US"/>
          </w:rPr>
          <w:t>en/content/7-nfc-device-compatibility</w:t>
        </w:r>
      </w:hyperlink>
    </w:p>
    <w:p w:rsidR="00610CD3" w:rsidRPr="00610CD3" w:rsidRDefault="00610CD3" w:rsidP="00610CD3">
      <w:pPr>
        <w:rPr>
          <w:lang w:val="en-US"/>
        </w:rPr>
      </w:pPr>
      <w:r>
        <w:rPr>
          <w:b/>
          <w:noProof/>
          <w:sz w:val="36"/>
          <w:szCs w:val="36"/>
          <w:lang w:val="en-US"/>
        </w:rPr>
        <w:drawing>
          <wp:anchor distT="0" distB="0" distL="114300" distR="114300" simplePos="0" relativeHeight="251658240" behindDoc="0" locked="0" layoutInCell="1" allowOverlap="1" wp14:anchorId="0F79EF00" wp14:editId="53D28427">
            <wp:simplePos x="0" y="0"/>
            <wp:positionH relativeFrom="column">
              <wp:posOffset>1720850</wp:posOffset>
            </wp:positionH>
            <wp:positionV relativeFrom="paragraph">
              <wp:posOffset>-444500</wp:posOffset>
            </wp:positionV>
            <wp:extent cx="2276475" cy="81788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2276475" cy="817880"/>
                    </a:xfrm>
                    <a:prstGeom prst="rect">
                      <a:avLst/>
                    </a:prstGeom>
                  </pic:spPr>
                </pic:pic>
              </a:graphicData>
            </a:graphic>
          </wp:anchor>
        </w:drawing>
      </w:r>
      <w:r w:rsidRPr="00610CD3">
        <w:rPr>
          <w:lang w:val="en-US"/>
        </w:rPr>
        <w:tab/>
      </w:r>
      <w:r w:rsidRPr="00610CD3">
        <w:rPr>
          <w:lang w:val="en-US"/>
        </w:rPr>
        <w:tab/>
      </w:r>
      <w:bookmarkStart w:id="0" w:name="_GoBack"/>
      <w:bookmarkEnd w:id="0"/>
      <w:r w:rsidRPr="00610CD3">
        <w:rPr>
          <w:lang w:val="en-US"/>
        </w:rPr>
        <w:tab/>
      </w:r>
    </w:p>
    <w:p w:rsidR="00610CD3" w:rsidRPr="00610CD3" w:rsidRDefault="00610CD3" w:rsidP="00610CD3">
      <w:pPr>
        <w:rPr>
          <w:lang w:val="en-US"/>
        </w:rPr>
      </w:pPr>
      <w:r w:rsidRPr="00610CD3">
        <w:rPr>
          <w:lang w:val="en-US"/>
        </w:rPr>
        <w:tab/>
      </w:r>
      <w:r w:rsidRPr="00610CD3">
        <w:rPr>
          <w:lang w:val="en-US"/>
        </w:rPr>
        <w:tab/>
      </w:r>
      <w:r w:rsidRPr="00610CD3">
        <w:rPr>
          <w:lang w:val="en-US"/>
        </w:rPr>
        <w:tab/>
      </w:r>
    </w:p>
    <w:p w:rsidR="00610CD3" w:rsidRPr="00610CD3" w:rsidRDefault="00610CD3" w:rsidP="00610CD3">
      <w:pPr>
        <w:rPr>
          <w:b/>
          <w:sz w:val="24"/>
          <w:szCs w:val="24"/>
          <w:lang w:val="en-US"/>
        </w:rPr>
      </w:pPr>
      <w:r w:rsidRPr="00610CD3">
        <w:rPr>
          <w:b/>
          <w:sz w:val="24"/>
          <w:szCs w:val="24"/>
          <w:lang w:val="en-US"/>
        </w:rPr>
        <w:t>RFID Cards / Fobs from other manufacturers</w:t>
      </w:r>
      <w:r w:rsidRPr="00610CD3">
        <w:rPr>
          <w:b/>
          <w:sz w:val="24"/>
          <w:szCs w:val="24"/>
          <w:lang w:val="en-US"/>
        </w:rPr>
        <w:tab/>
      </w:r>
      <w:r w:rsidRPr="00610CD3">
        <w:rPr>
          <w:b/>
          <w:sz w:val="24"/>
          <w:szCs w:val="24"/>
          <w:lang w:val="en-US"/>
        </w:rPr>
        <w:tab/>
      </w:r>
      <w:r w:rsidRPr="00610CD3">
        <w:rPr>
          <w:b/>
          <w:sz w:val="24"/>
          <w:szCs w:val="24"/>
          <w:lang w:val="en-US"/>
        </w:rPr>
        <w:tab/>
      </w:r>
    </w:p>
    <w:p w:rsidR="00610CD3" w:rsidRPr="00610CD3" w:rsidRDefault="00610CD3" w:rsidP="00610CD3">
      <w:pPr>
        <w:rPr>
          <w:lang w:val="en-US"/>
        </w:rPr>
      </w:pPr>
      <w:r w:rsidRPr="00610CD3">
        <w:rPr>
          <w:lang w:val="en-US"/>
        </w:rPr>
        <w:t xml:space="preserve">In order to guarantee compatibility with the locks, it is recommended to only use the original Carbine RFID cards </w:t>
      </w:r>
      <w:r w:rsidRPr="00610CD3">
        <w:rPr>
          <w:lang w:val="en-US"/>
        </w:rPr>
        <w:tab/>
      </w:r>
      <w:r w:rsidRPr="00610CD3">
        <w:rPr>
          <w:lang w:val="en-US"/>
        </w:rPr>
        <w:tab/>
      </w:r>
      <w:r w:rsidRPr="00610CD3">
        <w:rPr>
          <w:lang w:val="en-US"/>
        </w:rPr>
        <w:tab/>
      </w:r>
    </w:p>
    <w:p w:rsidR="00610CD3" w:rsidRPr="00610CD3" w:rsidRDefault="00610CD3" w:rsidP="00610CD3">
      <w:pPr>
        <w:rPr>
          <w:lang w:val="en-US"/>
        </w:rPr>
      </w:pPr>
      <w:r w:rsidRPr="00610CD3">
        <w:rPr>
          <w:lang w:val="en-US"/>
        </w:rPr>
        <w:t>Some other manufacturers RFID cards / fobs with MIFARE chips will be able to be added to the lock and operate it</w:t>
      </w:r>
      <w:r w:rsidRPr="00610CD3">
        <w:rPr>
          <w:lang w:val="en-US"/>
        </w:rPr>
        <w:tab/>
      </w:r>
      <w:r w:rsidRPr="00610CD3">
        <w:rPr>
          <w:lang w:val="en-US"/>
        </w:rPr>
        <w:tab/>
      </w:r>
      <w:r w:rsidRPr="00610CD3">
        <w:rPr>
          <w:lang w:val="en-US"/>
        </w:rPr>
        <w:tab/>
      </w:r>
    </w:p>
    <w:p w:rsidR="00610CD3" w:rsidRPr="00610CD3" w:rsidRDefault="00610CD3" w:rsidP="00610CD3">
      <w:pPr>
        <w:rPr>
          <w:lang w:val="en-US"/>
        </w:rPr>
      </w:pPr>
      <w:proofErr w:type="gramStart"/>
      <w:r w:rsidRPr="00610CD3">
        <w:rPr>
          <w:lang w:val="en-US"/>
        </w:rPr>
        <w:t>However</w:t>
      </w:r>
      <w:proofErr w:type="gramEnd"/>
      <w:r w:rsidRPr="00610CD3">
        <w:rPr>
          <w:lang w:val="en-US"/>
        </w:rPr>
        <w:t xml:space="preserve"> if any changes are made to the settings of those cards /fobs in the original reader they are used in, this may affect operation with the Carbine lock </w:t>
      </w:r>
      <w:r w:rsidRPr="00610CD3">
        <w:rPr>
          <w:lang w:val="en-US"/>
        </w:rPr>
        <w:tab/>
      </w:r>
      <w:r w:rsidRPr="00610CD3">
        <w:rPr>
          <w:lang w:val="en-US"/>
        </w:rPr>
        <w:tab/>
      </w:r>
      <w:r w:rsidRPr="00610CD3">
        <w:rPr>
          <w:lang w:val="en-US"/>
        </w:rPr>
        <w:tab/>
      </w:r>
    </w:p>
    <w:p w:rsidR="00610CD3" w:rsidRPr="00610CD3" w:rsidRDefault="00610CD3" w:rsidP="00610CD3">
      <w:pPr>
        <w:rPr>
          <w:lang w:val="en-US"/>
        </w:rPr>
      </w:pPr>
      <w:r w:rsidRPr="00610CD3">
        <w:rPr>
          <w:lang w:val="en-US"/>
        </w:rPr>
        <w:tab/>
      </w:r>
      <w:r w:rsidRPr="00610CD3">
        <w:rPr>
          <w:lang w:val="en-US"/>
        </w:rPr>
        <w:tab/>
      </w:r>
      <w:r w:rsidRPr="00610CD3">
        <w:rPr>
          <w:lang w:val="en-US"/>
        </w:rPr>
        <w:tab/>
      </w:r>
    </w:p>
    <w:p w:rsidR="00610CD3" w:rsidRPr="00610CD3" w:rsidRDefault="00610CD3" w:rsidP="00610CD3">
      <w:pPr>
        <w:rPr>
          <w:b/>
          <w:sz w:val="24"/>
          <w:szCs w:val="24"/>
          <w:lang w:val="en-US"/>
        </w:rPr>
      </w:pPr>
      <w:r>
        <w:rPr>
          <w:b/>
          <w:sz w:val="24"/>
          <w:szCs w:val="24"/>
          <w:lang w:val="en-US"/>
        </w:rPr>
        <w:t>Technical Support</w:t>
      </w:r>
      <w:r w:rsidRPr="00610CD3">
        <w:rPr>
          <w:b/>
          <w:sz w:val="24"/>
          <w:szCs w:val="24"/>
          <w:lang w:val="en-US"/>
        </w:rPr>
        <w:tab/>
      </w:r>
      <w:r w:rsidRPr="00610CD3">
        <w:rPr>
          <w:b/>
          <w:sz w:val="24"/>
          <w:szCs w:val="24"/>
          <w:lang w:val="en-US"/>
        </w:rPr>
        <w:tab/>
      </w:r>
      <w:r w:rsidRPr="00610CD3">
        <w:rPr>
          <w:b/>
          <w:sz w:val="24"/>
          <w:szCs w:val="24"/>
          <w:lang w:val="en-US"/>
        </w:rPr>
        <w:tab/>
      </w:r>
    </w:p>
    <w:p w:rsidR="00610CD3" w:rsidRPr="00610CD3" w:rsidRDefault="00610CD3" w:rsidP="00610CD3">
      <w:pPr>
        <w:rPr>
          <w:lang w:val="en-US"/>
        </w:rPr>
      </w:pPr>
      <w:r w:rsidRPr="00610CD3">
        <w:rPr>
          <w:lang w:val="en-US"/>
        </w:rPr>
        <w:t>Davcor is only able to provide support for our Carbine locks and original cards</w:t>
      </w:r>
      <w:r w:rsidRPr="00610CD3">
        <w:rPr>
          <w:lang w:val="en-US"/>
        </w:rPr>
        <w:tab/>
      </w:r>
      <w:r w:rsidRPr="00610CD3">
        <w:rPr>
          <w:lang w:val="en-US"/>
        </w:rPr>
        <w:tab/>
      </w:r>
      <w:r w:rsidRPr="00610CD3">
        <w:rPr>
          <w:lang w:val="en-US"/>
        </w:rPr>
        <w:tab/>
      </w:r>
    </w:p>
    <w:p w:rsidR="00610CD3" w:rsidRPr="00610CD3" w:rsidRDefault="00610CD3" w:rsidP="00610CD3">
      <w:pPr>
        <w:rPr>
          <w:lang w:val="en-US"/>
        </w:rPr>
      </w:pPr>
      <w:r w:rsidRPr="00610CD3">
        <w:rPr>
          <w:lang w:val="en-US"/>
        </w:rPr>
        <w:t>Any issues arising from using other manufacturers hardware to operate our locks may not be able to be resolved due to the settings in the other hardware</w:t>
      </w:r>
      <w:r w:rsidRPr="00610CD3">
        <w:rPr>
          <w:lang w:val="en-US"/>
        </w:rPr>
        <w:tab/>
      </w:r>
      <w:r w:rsidRPr="00610CD3">
        <w:rPr>
          <w:lang w:val="en-US"/>
        </w:rPr>
        <w:tab/>
      </w:r>
      <w:r w:rsidRPr="00610CD3">
        <w:rPr>
          <w:lang w:val="en-US"/>
        </w:rPr>
        <w:tab/>
      </w:r>
      <w:r w:rsidRPr="00610CD3">
        <w:rPr>
          <w:lang w:val="en-US"/>
        </w:rPr>
        <w:tab/>
      </w:r>
      <w:r w:rsidRPr="00610CD3">
        <w:rPr>
          <w:lang w:val="en-US"/>
        </w:rPr>
        <w:tab/>
      </w:r>
    </w:p>
    <w:p w:rsidR="00610CD3" w:rsidRPr="00610CD3" w:rsidRDefault="00610CD3" w:rsidP="00610CD3">
      <w:pPr>
        <w:rPr>
          <w:lang w:val="en-US"/>
        </w:rPr>
      </w:pPr>
    </w:p>
    <w:sectPr w:rsidR="00610CD3" w:rsidRPr="00610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8E5"/>
    <w:multiLevelType w:val="hybridMultilevel"/>
    <w:tmpl w:val="85D6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C62E7B"/>
    <w:multiLevelType w:val="hybridMultilevel"/>
    <w:tmpl w:val="B488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94E32"/>
    <w:multiLevelType w:val="hybridMultilevel"/>
    <w:tmpl w:val="1526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4599C"/>
    <w:multiLevelType w:val="hybridMultilevel"/>
    <w:tmpl w:val="4056A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9A7E2D"/>
    <w:multiLevelType w:val="hybridMultilevel"/>
    <w:tmpl w:val="9F60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B1475"/>
    <w:multiLevelType w:val="hybridMultilevel"/>
    <w:tmpl w:val="152ECB2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D6101A6"/>
    <w:multiLevelType w:val="hybridMultilevel"/>
    <w:tmpl w:val="E7FA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6B4279"/>
    <w:multiLevelType w:val="hybridMultilevel"/>
    <w:tmpl w:val="9F2E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714EEC"/>
    <w:multiLevelType w:val="hybridMultilevel"/>
    <w:tmpl w:val="0F7C5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FC5318"/>
    <w:multiLevelType w:val="hybridMultilevel"/>
    <w:tmpl w:val="7964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9A6256"/>
    <w:multiLevelType w:val="hybridMultilevel"/>
    <w:tmpl w:val="A42E0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F44ACE"/>
    <w:multiLevelType w:val="hybridMultilevel"/>
    <w:tmpl w:val="E8A2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3214A0"/>
    <w:multiLevelType w:val="hybridMultilevel"/>
    <w:tmpl w:val="C0065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3"/>
  </w:num>
  <w:num w:numId="6">
    <w:abstractNumId w:val="12"/>
  </w:num>
  <w:num w:numId="7">
    <w:abstractNumId w:val="5"/>
  </w:num>
  <w:num w:numId="8">
    <w:abstractNumId w:val="0"/>
  </w:num>
  <w:num w:numId="9">
    <w:abstractNumId w:val="4"/>
  </w:num>
  <w:num w:numId="10">
    <w:abstractNumId w:val="6"/>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47"/>
    <w:rsid w:val="000009C7"/>
    <w:rsid w:val="00002C35"/>
    <w:rsid w:val="000C2410"/>
    <w:rsid w:val="000C414B"/>
    <w:rsid w:val="000D4DEA"/>
    <w:rsid w:val="000D56D8"/>
    <w:rsid w:val="00152DB0"/>
    <w:rsid w:val="001C632F"/>
    <w:rsid w:val="001D0135"/>
    <w:rsid w:val="001D5DBF"/>
    <w:rsid w:val="001F1826"/>
    <w:rsid w:val="002D51BB"/>
    <w:rsid w:val="00372120"/>
    <w:rsid w:val="003D771F"/>
    <w:rsid w:val="00421DC1"/>
    <w:rsid w:val="00482B2A"/>
    <w:rsid w:val="00485779"/>
    <w:rsid w:val="004F0BF2"/>
    <w:rsid w:val="0052653B"/>
    <w:rsid w:val="0055199E"/>
    <w:rsid w:val="00554A00"/>
    <w:rsid w:val="00594ECA"/>
    <w:rsid w:val="005C25A9"/>
    <w:rsid w:val="006027B3"/>
    <w:rsid w:val="00602A9A"/>
    <w:rsid w:val="00610CD3"/>
    <w:rsid w:val="00645FF1"/>
    <w:rsid w:val="006D1EA4"/>
    <w:rsid w:val="00760719"/>
    <w:rsid w:val="0080034B"/>
    <w:rsid w:val="008A17B8"/>
    <w:rsid w:val="00917549"/>
    <w:rsid w:val="0099207C"/>
    <w:rsid w:val="009C487F"/>
    <w:rsid w:val="009D60E7"/>
    <w:rsid w:val="00A2272D"/>
    <w:rsid w:val="00A41F65"/>
    <w:rsid w:val="00AD6904"/>
    <w:rsid w:val="00B0485F"/>
    <w:rsid w:val="00B17A36"/>
    <w:rsid w:val="00B379C7"/>
    <w:rsid w:val="00B84652"/>
    <w:rsid w:val="00B86A71"/>
    <w:rsid w:val="00BD2690"/>
    <w:rsid w:val="00C232E5"/>
    <w:rsid w:val="00C31372"/>
    <w:rsid w:val="00C4547A"/>
    <w:rsid w:val="00C47DFE"/>
    <w:rsid w:val="00C87E9B"/>
    <w:rsid w:val="00CA3C63"/>
    <w:rsid w:val="00CB14FE"/>
    <w:rsid w:val="00CB49AC"/>
    <w:rsid w:val="00CE602D"/>
    <w:rsid w:val="00D734F7"/>
    <w:rsid w:val="00DB39A2"/>
    <w:rsid w:val="00DB7547"/>
    <w:rsid w:val="00DD1F66"/>
    <w:rsid w:val="00DF4F9E"/>
    <w:rsid w:val="00E17462"/>
    <w:rsid w:val="00E304AF"/>
    <w:rsid w:val="00E52BF4"/>
    <w:rsid w:val="00E56E39"/>
    <w:rsid w:val="00EC1DF8"/>
    <w:rsid w:val="00ED6715"/>
    <w:rsid w:val="00EF12A4"/>
    <w:rsid w:val="00EF3664"/>
    <w:rsid w:val="00F4057B"/>
    <w:rsid w:val="00F61998"/>
    <w:rsid w:val="00F928A1"/>
    <w:rsid w:val="00FE5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228C"/>
  <w15:docId w15:val="{AEE768B3-C06B-41BA-B7AC-20347C5F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547"/>
    <w:pPr>
      <w:ind w:left="720"/>
      <w:contextualSpacing/>
    </w:pPr>
  </w:style>
  <w:style w:type="paragraph" w:styleId="BalloonText">
    <w:name w:val="Balloon Text"/>
    <w:basedOn w:val="Normal"/>
    <w:link w:val="BalloonTextChar"/>
    <w:uiPriority w:val="99"/>
    <w:semiHidden/>
    <w:unhideWhenUsed/>
    <w:rsid w:val="00CE6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02D"/>
    <w:rPr>
      <w:rFonts w:ascii="Tahoma" w:hAnsi="Tahoma" w:cs="Tahoma"/>
      <w:sz w:val="16"/>
      <w:szCs w:val="16"/>
    </w:rPr>
  </w:style>
  <w:style w:type="character" w:styleId="Hyperlink">
    <w:name w:val="Hyperlink"/>
    <w:basedOn w:val="DefaultParagraphFont"/>
    <w:uiPriority w:val="99"/>
    <w:unhideWhenUsed/>
    <w:rsid w:val="00610CD3"/>
    <w:rPr>
      <w:color w:val="0000FF" w:themeColor="hyperlink"/>
      <w:u w:val="single"/>
    </w:rPr>
  </w:style>
  <w:style w:type="character" w:styleId="FollowedHyperlink">
    <w:name w:val="FollowedHyperlink"/>
    <w:basedOn w:val="DefaultParagraphFont"/>
    <w:uiPriority w:val="99"/>
    <w:semiHidden/>
    <w:unhideWhenUsed/>
    <w:rsid w:val="00992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8515">
      <w:bodyDiv w:val="1"/>
      <w:marLeft w:val="0"/>
      <w:marRight w:val="0"/>
      <w:marTop w:val="0"/>
      <w:marBottom w:val="0"/>
      <w:divBdr>
        <w:top w:val="none" w:sz="0" w:space="0" w:color="auto"/>
        <w:left w:val="none" w:sz="0" w:space="0" w:color="auto"/>
        <w:bottom w:val="none" w:sz="0" w:space="0" w:color="auto"/>
        <w:right w:val="none" w:sz="0" w:space="0" w:color="auto"/>
      </w:divBdr>
    </w:div>
    <w:div w:id="754938649">
      <w:bodyDiv w:val="1"/>
      <w:marLeft w:val="0"/>
      <w:marRight w:val="0"/>
      <w:marTop w:val="0"/>
      <w:marBottom w:val="0"/>
      <w:divBdr>
        <w:top w:val="none" w:sz="0" w:space="0" w:color="auto"/>
        <w:left w:val="none" w:sz="0" w:space="0" w:color="auto"/>
        <w:bottom w:val="none" w:sz="0" w:space="0" w:color="auto"/>
        <w:right w:val="none" w:sz="0" w:space="0" w:color="auto"/>
      </w:divBdr>
    </w:div>
    <w:div w:id="934478278">
      <w:bodyDiv w:val="1"/>
      <w:marLeft w:val="0"/>
      <w:marRight w:val="0"/>
      <w:marTop w:val="0"/>
      <w:marBottom w:val="0"/>
      <w:divBdr>
        <w:top w:val="none" w:sz="0" w:space="0" w:color="auto"/>
        <w:left w:val="none" w:sz="0" w:space="0" w:color="auto"/>
        <w:bottom w:val="none" w:sz="0" w:space="0" w:color="auto"/>
        <w:right w:val="none" w:sz="0" w:space="0" w:color="auto"/>
      </w:divBdr>
    </w:div>
    <w:div w:id="976762602">
      <w:bodyDiv w:val="1"/>
      <w:marLeft w:val="0"/>
      <w:marRight w:val="0"/>
      <w:marTop w:val="0"/>
      <w:marBottom w:val="0"/>
      <w:divBdr>
        <w:top w:val="none" w:sz="0" w:space="0" w:color="auto"/>
        <w:left w:val="none" w:sz="0" w:space="0" w:color="auto"/>
        <w:bottom w:val="none" w:sz="0" w:space="0" w:color="auto"/>
        <w:right w:val="none" w:sz="0" w:space="0" w:color="auto"/>
      </w:divBdr>
    </w:div>
    <w:div w:id="1444760651">
      <w:bodyDiv w:val="1"/>
      <w:marLeft w:val="0"/>
      <w:marRight w:val="0"/>
      <w:marTop w:val="0"/>
      <w:marBottom w:val="0"/>
      <w:divBdr>
        <w:top w:val="none" w:sz="0" w:space="0" w:color="auto"/>
        <w:left w:val="none" w:sz="0" w:space="0" w:color="auto"/>
        <w:bottom w:val="none" w:sz="0" w:space="0" w:color="auto"/>
        <w:right w:val="none" w:sz="0" w:space="0" w:color="auto"/>
      </w:divBdr>
    </w:div>
    <w:div w:id="1702975200">
      <w:bodyDiv w:val="1"/>
      <w:marLeft w:val="0"/>
      <w:marRight w:val="0"/>
      <w:marTop w:val="0"/>
      <w:marBottom w:val="0"/>
      <w:divBdr>
        <w:top w:val="none" w:sz="0" w:space="0" w:color="auto"/>
        <w:left w:val="none" w:sz="0" w:space="0" w:color="auto"/>
        <w:bottom w:val="none" w:sz="0" w:space="0" w:color="auto"/>
        <w:right w:val="none" w:sz="0" w:space="0" w:color="auto"/>
      </w:divBdr>
    </w:div>
    <w:div w:id="21351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nfc.it/en/content/7-nfc-device-compatibility" TargetMode="External"/><Relationship Id="rId3" Type="http://schemas.openxmlformats.org/officeDocument/2006/relationships/settings" Target="settings.xml"/><Relationship Id="rId7" Type="http://schemas.openxmlformats.org/officeDocument/2006/relationships/hyperlink" Target="https://en.wikipedia.org/wiki/MIF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Davcor</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Lloyd</dc:creator>
  <cp:lastModifiedBy>Michael Lloyd</cp:lastModifiedBy>
  <cp:revision>2</cp:revision>
  <dcterms:created xsi:type="dcterms:W3CDTF">2016-11-10T22:10:00Z</dcterms:created>
  <dcterms:modified xsi:type="dcterms:W3CDTF">2016-11-10T22:10:00Z</dcterms:modified>
</cp:coreProperties>
</file>